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REGULAMIN</w:t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XVII</w:t>
      </w: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I</w:t>
      </w: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EDYCJI POWIATOWEGO KONKURSU</w:t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  <w:t>„</w:t>
      </w: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Najlepsze inicjatywy społeczności lokalnych”</w:t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w ramach programu „Odnowa wsi powiatu kłodzkiego”.</w:t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§1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XVII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Edycja Powiatowego Konkursu „Najlepsze inicjatywy społeczności lokalnych” organizowana jest przez Starostwo Powiatowe w Kłodzku, które w ramach własnego budżetu wyodrębniło środki finansowe w wysokości </w:t>
      </w: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4</w:t>
      </w: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5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.000,00 zł na wsparcie ważnych inicjatyw społeczności lokalnych.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§2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Dofinansowaniu podlegają projekty powstałe z inicjatywy mieszkańców obszarów wiejskich, obejmujące swoim zasięgiem miejscowości należące do gmin wiejskich lub miejsko-wiejskich powiatu kłodzkiego.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§3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Do udziału w konkursie są zaproszone wszystkie gminy wiejskie i miejsko-wiejskie powiatu kłodzkiego.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Samorząd gminny przesyła kompletne i zaopiniowane wnioski z uzasadnieniem ich znaczenia dla społeczności lokalnej. Wnioski przedłożone bez opinii samorządu gminnego nie będą rozpatrywane.</w:t>
      </w:r>
    </w:p>
    <w:p>
      <w:pPr>
        <w:pStyle w:val="Tretekstu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Gminy posiadające do 15 sołectw mogą zgłosić maksymalnie 2 wnioski.</w:t>
      </w:r>
    </w:p>
    <w:p>
      <w:pPr>
        <w:pStyle w:val="Tretekstu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Gminy posiadające powyżej 15 sołectw mogą zgłosić maksymalnie 4 wnioski.</w:t>
      </w:r>
    </w:p>
    <w:p>
      <w:pPr>
        <w:pStyle w:val="Tretekstu"/>
        <w:widowControl/>
        <w:numPr>
          <w:ilvl w:val="0"/>
          <w:numId w:val="1"/>
        </w:numPr>
        <w:bidi w:val="0"/>
        <w:spacing w:before="0" w:after="0"/>
        <w:jc w:val="both"/>
        <w:rPr>
          <w:b w:val="false"/>
          <w:b w:val="false"/>
          <w:bCs w:val="false"/>
        </w:rPr>
      </w:pPr>
      <w:r>
        <w:rPr>
          <w:rFonts w:eastAsia="NSimSun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Wnioski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złożone na niewłaściwych drukach, niekompletne, nie zawierające opinii właściwej gminy zostaną odrzucone z przyczyn formalnych.</w:t>
      </w:r>
    </w:p>
    <w:p>
      <w:pPr>
        <w:pStyle w:val="Tretekstu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Każdy wniosek powinien zawierać szczegółowy opis planowanego lub będącego w trakcie realizacji przedsięwzięcia. Do wniosku należy dołączyć dokumenty potwierdzające i dokumentujące fazę realizacji lub przygotowania do realizacji konkretnego przedsięwzięcia (opisy, plany, projekty, koncepcje, itp.) oraz szczegółowy plan finansowy zgłoszonej do konkursu inicjatywy.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§4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Warunki finansowe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numPr>
          <w:ilvl w:val="0"/>
          <w:numId w:val="2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Wnioskodawca dostarcza potwierdzone dane i specyfikacje dotyczące planu finansowego zgłoszonej do konkursu inicjatywy.</w:t>
      </w:r>
    </w:p>
    <w:p>
      <w:pPr>
        <w:pStyle w:val="Tretekstu"/>
        <w:widowControl/>
        <w:numPr>
          <w:ilvl w:val="0"/>
          <w:numId w:val="2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Dotacja zostaje uruchomiona na podstawie podpisanej umowy pomiędzy Powiatem a Gminą, po zrealizowaniu projektu i przedłożeniu rozliczenia (faktur i rachunków za zakupione materiały oraz usługi zaangażowane przy realizacji projektu). </w:t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Style w:val="Mocnewyrnione"/>
          <w:rFonts w:ascii="Arial" w:hAnsi="Arial" w:cs="Arial"/>
          <w:b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§5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numPr>
          <w:ilvl w:val="0"/>
          <w:numId w:val="3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Dofinansowaniu podlegają wszelkie inicjatywy społeczne realizowane przez sołectwa na terenach wiejskich gmin wiejskich i miejsko-wiejskich powiatu kłodzkiego.</w:t>
      </w:r>
    </w:p>
    <w:p>
      <w:pPr>
        <w:pStyle w:val="Tretekstu"/>
        <w:widowControl/>
        <w:numPr>
          <w:ilvl w:val="0"/>
          <w:numId w:val="3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Dofinansowaniu podlegać mogą przedsięwzięcia w trakcie realizacji, z tym że ich początek określa się na dzień 01.01.202</w:t>
      </w: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2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roku. Preferencyjnie traktowane będą przedsięwzięcia poważnie zaawansowane realizacyjnie, podlegające zakończeniu</w:t>
        <w:br/>
        <w:t>w 202</w:t>
      </w: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2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roku.</w:t>
      </w:r>
    </w:p>
    <w:p>
      <w:pPr>
        <w:pStyle w:val="Tretekstu"/>
        <w:widowControl/>
        <w:numPr>
          <w:ilvl w:val="0"/>
          <w:numId w:val="3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Ważnym kryterium oceny wniosku jest zakres planowanego przedsięwzięcia, zaangażowanie samorządu gminnego i lokalnego w realizację planowanego lub realizowanego zadania.</w:t>
      </w:r>
    </w:p>
    <w:p>
      <w:pPr>
        <w:pStyle w:val="Tretekstu"/>
        <w:widowControl/>
        <w:numPr>
          <w:ilvl w:val="0"/>
          <w:numId w:val="3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Przykładowe typy realizowanych przedsięwzięć:</w:t>
      </w:r>
    </w:p>
    <w:p>
      <w:pPr>
        <w:pStyle w:val="Tretekstu"/>
        <w:widowControl/>
        <w:numPr>
          <w:ilvl w:val="1"/>
          <w:numId w:val="4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obiekty infrastruktury o charakterze kulturalno – oświatowym,</w:t>
      </w:r>
    </w:p>
    <w:p>
      <w:pPr>
        <w:pStyle w:val="Tretekstu"/>
        <w:widowControl/>
        <w:numPr>
          <w:ilvl w:val="1"/>
          <w:numId w:val="4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obiekty rekreacyjno – sportowe,</w:t>
      </w:r>
    </w:p>
    <w:p>
      <w:pPr>
        <w:pStyle w:val="Tretekstu"/>
        <w:widowControl/>
        <w:numPr>
          <w:ilvl w:val="1"/>
          <w:numId w:val="4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obiekty użyteczności publicznej służące szeroko rozumianej społeczności,</w:t>
      </w:r>
    </w:p>
    <w:p>
      <w:pPr>
        <w:pStyle w:val="Tretekstu"/>
        <w:widowControl/>
        <w:numPr>
          <w:ilvl w:val="1"/>
          <w:numId w:val="4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inne obiekty o otwartym charakterze,</w:t>
      </w:r>
    </w:p>
    <w:p>
      <w:pPr>
        <w:pStyle w:val="Tretekstu"/>
        <w:widowControl/>
        <w:bidi w:val="0"/>
        <w:spacing w:before="0" w:after="0"/>
        <w:ind w:left="0" w:right="0" w:hanging="0"/>
        <w:jc w:val="both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§6</w:t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Kryteria oceny projektów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numPr>
          <w:ilvl w:val="0"/>
          <w:numId w:val="5"/>
        </w:numPr>
        <w:bidi w:val="0"/>
        <w:spacing w:before="0" w:after="0"/>
        <w:jc w:val="left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Pomysłowość, innowacyjność projektu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od 0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5 pkt.</w:t>
      </w:r>
    </w:p>
    <w:p>
      <w:pPr>
        <w:pStyle w:val="Tretekstu"/>
        <w:widowControl/>
        <w:numPr>
          <w:ilvl w:val="0"/>
          <w:numId w:val="5"/>
        </w:numPr>
        <w:bidi w:val="0"/>
        <w:spacing w:before="0" w:after="0"/>
        <w:jc w:val="left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Zaangażowanie społeczności lokalnej w realizację projektu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od 0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do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10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pkt.</w:t>
      </w:r>
    </w:p>
    <w:p>
      <w:pPr>
        <w:pStyle w:val="Tretekstu"/>
        <w:widowControl/>
        <w:numPr>
          <w:ilvl w:val="0"/>
          <w:numId w:val="5"/>
        </w:numPr>
        <w:bidi w:val="0"/>
        <w:spacing w:before="0" w:after="0"/>
        <w:jc w:val="left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Efektywność projektu (wymierne rezultaty, duży skutek, małe koszty)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od 0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10 pkt.</w:t>
      </w:r>
    </w:p>
    <w:p>
      <w:pPr>
        <w:pStyle w:val="Tretekstu"/>
        <w:widowControl/>
        <w:numPr>
          <w:ilvl w:val="0"/>
          <w:numId w:val="5"/>
        </w:numPr>
        <w:bidi w:val="0"/>
        <w:spacing w:before="0" w:after="0"/>
        <w:jc w:val="left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Jakość przygotowania projektu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od 0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10 pkt.</w:t>
      </w:r>
    </w:p>
    <w:p>
      <w:pPr>
        <w:pStyle w:val="Tretekstu"/>
        <w:widowControl/>
        <w:numPr>
          <w:ilvl w:val="0"/>
          <w:numId w:val="5"/>
        </w:numPr>
        <w:bidi w:val="0"/>
        <w:spacing w:before="0" w:after="0"/>
        <w:jc w:val="left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Pozyskanie dodatkowych fundusz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 – od 0 do 5 pkt.</w:t>
      </w:r>
    </w:p>
    <w:p>
      <w:pPr>
        <w:pStyle w:val="Tretekstu"/>
        <w:widowControl/>
        <w:numPr>
          <w:ilvl w:val="0"/>
          <w:numId w:val="5"/>
        </w:numPr>
        <w:bidi w:val="0"/>
        <w:spacing w:before="0" w:after="0"/>
        <w:jc w:val="left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Współpraca z gminą, organizacjami i wolontariuszami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– od 0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5 pkt.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§7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Sposób dofinansowania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numPr>
          <w:ilvl w:val="0"/>
          <w:numId w:val="6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Dofinansowaniu podlegają najwyżej ocenione projekty.</w:t>
      </w:r>
    </w:p>
    <w:p>
      <w:pPr>
        <w:pStyle w:val="Tretekstu"/>
        <w:widowControl/>
        <w:numPr>
          <w:ilvl w:val="0"/>
          <w:numId w:val="6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Dofinansowaniu podlega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do 50% kosztów rzeczowych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przedsięwzięcia przy czym kwota dofinansowania nie może przekroczyć </w:t>
      </w: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3000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,00 zł.</w:t>
      </w:r>
    </w:p>
    <w:p>
      <w:pPr>
        <w:pStyle w:val="Tretekstu"/>
        <w:widowControl/>
        <w:numPr>
          <w:ilvl w:val="0"/>
          <w:numId w:val="6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Koszty osobowe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nie mogą być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objęte dofinansowaniem oraz nie są wliczane do kosztów rzeczowych przedsięwzięcia objętego dofinansowaniem.</w:t>
      </w:r>
    </w:p>
    <w:p>
      <w:pPr>
        <w:pStyle w:val="Tretekstu"/>
        <w:widowControl/>
        <w:bidi w:val="0"/>
        <w:spacing w:before="0" w:after="0"/>
        <w:ind w:left="0" w:right="0" w:hanging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§8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Komisja ds. Wniosków</w:t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numPr>
          <w:ilvl w:val="0"/>
          <w:numId w:val="7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Nadesłane wnioski oceni komisja konkursowa, której skład określi Starosta Kłodzki.</w:t>
      </w:r>
    </w:p>
    <w:p>
      <w:pPr>
        <w:pStyle w:val="Tretekstu"/>
        <w:widowControl/>
        <w:numPr>
          <w:ilvl w:val="0"/>
          <w:numId w:val="7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Propozycje podziału przyznanych środków komisja konkursowa przedstawia Zarządowi Powiatu, który podejmuje ostateczną decyzję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rozdzieleniu środków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Tretekstu"/>
        <w:widowControl/>
        <w:bidi w:val="0"/>
        <w:spacing w:before="0" w:after="0"/>
        <w:jc w:val="both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§9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Terminarz nadsyłania i rozpatrywania wniosków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numPr>
          <w:ilvl w:val="0"/>
          <w:numId w:val="8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Termin składania wniosków przez gminy do </w:t>
      </w:r>
      <w:r>
        <w:rPr>
          <w:rFonts w:eastAsia="NSimSu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30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eastAsia="NSimSu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06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.202</w:t>
      </w:r>
      <w:r>
        <w:rPr>
          <w:rFonts w:eastAsia="NSimSu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2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r.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NSimSu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Wnioski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złożon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po terminie (liczy się data wpływu do urzędu w Biurze Obsługi Klienta pok. nr 8 w Starostwie Powiatowym w Kłodzku) zostaną odrzucone z przyczyn formalnych.</w:t>
      </w:r>
    </w:p>
    <w:p>
      <w:pPr>
        <w:pStyle w:val="Tretekstu"/>
        <w:widowControl/>
        <w:numPr>
          <w:ilvl w:val="0"/>
          <w:numId w:val="8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Kwalifikowanie wniosków przez komisję konkursową oraz wybór projektów podlegających dofinansowaniu do </w:t>
      </w:r>
      <w:r>
        <w:rPr>
          <w:rFonts w:eastAsia="NSimSu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01.08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.202</w:t>
      </w:r>
      <w:r>
        <w:rPr>
          <w:rFonts w:eastAsia="NSimSu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2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r.</w:t>
      </w:r>
    </w:p>
    <w:p>
      <w:pPr>
        <w:pStyle w:val="Tretekstu"/>
        <w:widowControl/>
        <w:numPr>
          <w:ilvl w:val="0"/>
          <w:numId w:val="8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Do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22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.08.202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2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r.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gminy zostaną poinformowane o wynikach konkursu, oraz otrzymają stosowne umowy zgodnie z </w:t>
      </w:r>
      <w:r>
        <w:rPr>
          <w:rStyle w:val="Mocnewyrnione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§4 Regulaminu.</w:t>
      </w:r>
    </w:p>
    <w:p>
      <w:pPr>
        <w:pStyle w:val="Tretekstu"/>
        <w:widowControl/>
        <w:numPr>
          <w:ilvl w:val="0"/>
          <w:numId w:val="8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 terminie do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31.10.202</w:t>
      </w:r>
      <w:r>
        <w:rPr>
          <w:rFonts w:eastAsia="NSimSu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2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r.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uczestnicy zakwalifikowanych projektów zgłaszają wykonanie przedmiotowych zadań i przedkładają rozliczenie.</w:t>
      </w:r>
    </w:p>
    <w:p>
      <w:pPr>
        <w:pStyle w:val="Tretekstu"/>
        <w:widowControl/>
        <w:numPr>
          <w:ilvl w:val="0"/>
          <w:numId w:val="8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Ostateczne rozliczenie konkursu następuje do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15.12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.202</w:t>
      </w:r>
      <w:r>
        <w:rPr>
          <w:rFonts w:eastAsia="NSimSu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2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r.</w:t>
      </w:r>
    </w:p>
    <w:p>
      <w:pPr>
        <w:pStyle w:val="Tretekstu"/>
        <w:widowControl/>
        <w:numPr>
          <w:ilvl w:val="0"/>
          <w:numId w:val="8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 trakcie lub po zakończeniu realizacji zadań podlegających dofinansowaniu może zostać przeprowadzona kontrola przez merytorycznie odpowiedzialnego pracownika.</w:t>
      </w:r>
    </w:p>
    <w:p>
      <w:pPr>
        <w:pStyle w:val="Tretekstu"/>
        <w:widowControl/>
        <w:numPr>
          <w:ilvl w:val="0"/>
          <w:numId w:val="8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Wszelkie zmiany w zakresie zakwalifikowanych projektów muszą być zgłaszane podczas realizacji. Starostwo zastrzega sobie możliwość odstąpienia od dofinansowania w przypadku </w:t>
      </w:r>
      <w:r>
        <w:rPr>
          <w:rFonts w:eastAsia="NSimSu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znaczących zmian w zakwalifikowanych projektach.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/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</w:t>
      </w:r>
      <w:r>
        <w:rPr>
          <w:rStyle w:val="Mocnewyrnione"/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10</w:t>
      </w:r>
    </w:p>
    <w:p>
      <w:pPr>
        <w:pStyle w:val="Tretekstu"/>
        <w:widowControl/>
        <w:bidi w:val="0"/>
        <w:spacing w:before="0" w:after="0"/>
        <w:ind w:left="0" w:right="0" w:hanging="0"/>
        <w:jc w:val="left"/>
        <w:rPr>
          <w:rFonts w:ascii="Arial" w:hAnsi="Arial" w:cs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/>
      </w:pPr>
      <w:r>
        <w:rPr>
          <w:rStyle w:val="Mocnewyrnione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Rozliczenie dotacji</w:t>
      </w:r>
    </w:p>
    <w:p>
      <w:pPr>
        <w:pStyle w:val="Tretekstu"/>
        <w:widowControl/>
        <w:bidi w:val="0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numPr>
          <w:ilvl w:val="0"/>
          <w:numId w:val="9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Wypłata przyznanych środków odbywa się na podstawie przedstawionych faktur</w:t>
        <w:br/>
        <w:t xml:space="preserve">i rachunków dokumentujących rzeczywiście poniesione nakłady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które podlegały dofinansowaniu w ramach konkursu, oraz rozliczenie całości przedsięwzięcia realizowanego w ramach zgłoszonego wniosku.</w:t>
      </w:r>
    </w:p>
    <w:p>
      <w:pPr>
        <w:pStyle w:val="Tretekstu"/>
        <w:widowControl/>
        <w:numPr>
          <w:ilvl w:val="0"/>
          <w:numId w:val="9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Ostateczna kwota wypłaty zależy od udokumentowania projektu fakturami</w:t>
        <w:br/>
        <w:t>i rachunkami, odpowiadającymi zadaniom wskazanym w projekcie, na które zostało przyznane dofinansowanie. Kwota wypłaty nie może być większa od kwoty przyznanej dotacji.</w:t>
      </w:r>
    </w:p>
    <w:p>
      <w:pPr>
        <w:pStyle w:val="Tretekstu"/>
        <w:widowControl/>
        <w:numPr>
          <w:ilvl w:val="0"/>
          <w:numId w:val="9"/>
        </w:numPr>
        <w:bidi w:val="0"/>
        <w:spacing w:before="0" w:after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Ostateczna kwota wypłaty nie może przekroczyć 50% kosztów rzeczowych wynikających z przedstawionego rozliczenia.</w:t>
      </w:r>
    </w:p>
    <w:p>
      <w:pPr>
        <w:pStyle w:val="Tretekstu"/>
        <w:widowControl/>
        <w:numPr>
          <w:ilvl w:val="0"/>
          <w:numId w:val="9"/>
        </w:numPr>
        <w:bidi w:val="0"/>
        <w:spacing w:before="0" w:after="0"/>
        <w:jc w:val="both"/>
        <w:rPr/>
      </w:pPr>
      <w:r>
        <w:rPr>
          <w:rStyle w:val="Mocnewyrnione"/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Wypłata odbywa się na konta wskazane przez gminy w umowach o udzielenie dotacji.</w:t>
      </w:r>
    </w:p>
    <w:p>
      <w:pPr>
        <w:pStyle w:val="Tretekstu"/>
        <w:widowControl/>
        <w:bidi w:val="0"/>
        <w:spacing w:before="0" w:after="0"/>
        <w:jc w:val="center"/>
        <w:rPr>
          <w:rStyle w:val="Mocnewyrnione"/>
          <w:rFonts w:ascii="Arial" w:hAnsi="Arial" w:cs="Arial"/>
          <w:b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jc w:val="center"/>
        <w:rPr/>
      </w:pPr>
      <w:r>
        <w:rPr>
          <w:rStyle w:val="Mocnewyrnione"/>
          <w:rFonts w:cs="Arial"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§11</w:t>
      </w:r>
    </w:p>
    <w:p>
      <w:pPr>
        <w:pStyle w:val="Tretekstu"/>
        <w:widowControl/>
        <w:bidi w:val="0"/>
        <w:spacing w:before="0" w:after="0"/>
        <w:jc w:val="both"/>
        <w:rPr>
          <w:rStyle w:val="Mocnewyrnione"/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retekstu"/>
        <w:widowControl/>
        <w:bidi w:val="0"/>
        <w:spacing w:before="0" w:after="0"/>
        <w:jc w:val="both"/>
        <w:rPr/>
      </w:pPr>
      <w:r>
        <w:rPr>
          <w:rStyle w:val="Mocnewyrnione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Integralną część niniejszego regulaminu stanowi formularz wniosku </w:t>
      </w:r>
      <w:r>
        <w:rPr>
          <w:rStyle w:val="Mocnewyrnione"/>
          <w:rFonts w:eastAsia="NSimSun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XVII</w:t>
      </w:r>
      <w:r>
        <w:rPr>
          <w:rStyle w:val="Mocnewyrnione"/>
          <w:rFonts w:eastAsia="NSimSun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I</w:t>
      </w:r>
      <w:r>
        <w:rPr>
          <w:rStyle w:val="Mocnewyrnione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Mocnewyrnione"/>
          <w:rFonts w:eastAsia="NSimSun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E</w:t>
      </w:r>
      <w:r>
        <w:rPr>
          <w:rStyle w:val="Mocnewyrnione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dycji </w:t>
      </w:r>
      <w:r>
        <w:rPr>
          <w:rStyle w:val="Mocnewyrnione"/>
          <w:rFonts w:eastAsia="NSimSun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P</w:t>
      </w:r>
      <w:r>
        <w:rPr>
          <w:rStyle w:val="Mocnewyrnione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owiatowego </w:t>
      </w:r>
      <w:r>
        <w:rPr>
          <w:rStyle w:val="Mocnewyrnione"/>
          <w:rFonts w:eastAsia="NSimSun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l-PL" w:eastAsia="zh-CN" w:bidi="hi-IN"/>
        </w:rPr>
        <w:t>K</w:t>
      </w:r>
      <w:r>
        <w:rPr>
          <w:rStyle w:val="Mocnewyrnione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onkursu „Najlepsze inicjatywy społeczności lokalnych”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  <w:smallCaps w:val="false"/>
        <w:caps w:val="false"/>
        <w:sz w:val="24"/>
        <w:spacing w:val="0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 w:hint="default"/>
        <w:smallCaps w:val="false"/>
        <w:caps w:val="false"/>
        <w:sz w:val="24"/>
        <w:spacing w:val="0"/>
        <w:szCs w:val="24"/>
        <w:color w:val="000000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  <w:smallCaps w:val="false"/>
        <w:caps w:val="false"/>
        <w:sz w:val="24"/>
        <w:spacing w:val="0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 w:hint="default"/>
        <w:smallCaps w:val="false"/>
        <w:caps w:val="false"/>
        <w:sz w:val="24"/>
        <w:spacing w:val="0"/>
        <w:szCs w:val="24"/>
        <w:color w:val="000000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  <w:smallCaps w:val="false"/>
        <w:caps w:val="false"/>
        <w:sz w:val="24"/>
        <w:spacing w:val="0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 w:hint="default"/>
        <w:smallCaps w:val="false"/>
        <w:caps w:val="false"/>
        <w:sz w:val="24"/>
        <w:spacing w:val="0"/>
        <w:szCs w:val="24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mallCaps w:val="false"/>
        <w:caps w:val="false"/>
        <w:sz w:val="24"/>
        <w:spacing w:val="0"/>
        <w:i w:val="false"/>
        <w:b w:val="false"/>
        <w:szCs w:val="24"/>
        <w:rFonts w:ascii="Arial" w:hAnsi="Arial" w:cs="Arial"/>
        <w:color w:val="00000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2z0">
    <w:name w:val="WW8Num2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3z0">
    <w:name w:val="WW8Num3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  <w:caps w:val="false"/>
      <w:smallCaps w:val="false"/>
      <w:color w:val="000000"/>
      <w:spacing w:val="0"/>
      <w:sz w:val="24"/>
      <w:szCs w:val="24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8z0">
    <w:name w:val="WW8Num8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9z0">
    <w:name w:val="WW8Num9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10z0">
    <w:name w:val="WW8Num10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Mocnewyrnione">
    <w:name w:val="Mocne wyróżnione"/>
    <w:qFormat/>
    <w:rPr>
      <w:b/>
      <w:bCs/>
    </w:rPr>
  </w:style>
  <w:style w:type="character" w:styleId="Znakinumeracji">
    <w:name w:val="Znaki numeracji"/>
    <w:qFormat/>
    <w:rPr>
      <w:rFonts w:ascii="Arial" w:hAnsi="Arial" w:cs="Arial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Calibri" w:hAnsi="Calibri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LibreOffice/7.3.2.2$Windows_X86_64 LibreOffice_project/49f2b1bff42cfccbd8f788c8dc32c1c309559be0</Application>
  <AppVersion>15.0000</AppVersion>
  <Pages>3</Pages>
  <Words>730</Words>
  <Characters>5094</Characters>
  <CharactersWithSpaces>5740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2020-05-18T12:33:48Z</dcterms:created>
  <dc:creator/>
  <dc:description/>
  <dc:language>pl-PL</dc:language>
  <cp:lastModifiedBy/>
  <dcterms:modified xsi:type="dcterms:W3CDTF">2022-04-28T07:26:36Z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